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A3F09C7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16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039B4743" w:rsidR="003D60A1" w:rsidRPr="00556A7B" w:rsidRDefault="003D60A1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556A7B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556A7B">
        <w:rPr>
          <w:rFonts w:ascii="Arial" w:hAnsi="Arial" w:cs="Arial"/>
          <w:sz w:val="36"/>
          <w:szCs w:val="36"/>
        </w:rPr>
        <w:t>– SOCIÁLNÍ BYDLENÍ – SC 4.2 (MRR)</w:t>
      </w:r>
    </w:p>
    <w:p w14:paraId="131AF5E7" w14:textId="6CD03F81" w:rsidR="00D87CE0" w:rsidRPr="00A13B54" w:rsidRDefault="003D60A1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556A7B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556A7B">
        <w:rPr>
          <w:rFonts w:ascii="Arial" w:hAnsi="Arial" w:cs="Arial"/>
          <w:sz w:val="36"/>
          <w:szCs w:val="36"/>
        </w:rPr>
        <w:t>–</w:t>
      </w:r>
      <w:r w:rsidRPr="00556A7B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556A7B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7E3C5E9B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Prohlášení o souladu s cílovou skupinou podpory sociálního bydlení 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2021-2027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03789C6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2001-2027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025C895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797F2351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Cílové skupiny pro výzvy na podporu sociálního bydlení</w:t>
      </w:r>
      <w:r w:rsidR="005C6278" w:rsidRPr="005C6278">
        <w:rPr>
          <w:rStyle w:val="Znakapoznpodarou"/>
          <w:rFonts w:ascii="Arial" w:hAnsi="Arial" w:cs="Arial"/>
        </w:rPr>
        <w:footnoteReference w:id="4"/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6DFAAEA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 dětmi v azylovém domě</w:t>
      </w:r>
    </w:p>
    <w:p w14:paraId="450A78E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úplné rodiny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bez přístřeší po vystěhování z bytu</w:t>
      </w:r>
    </w:p>
    <w:p w14:paraId="4266C3D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ohrožené domácím násilím </w:t>
      </w:r>
    </w:p>
    <w:p w14:paraId="7B73A31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žadatelé o azyl 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věznice</w:t>
      </w:r>
    </w:p>
    <w:p w14:paraId="23159B1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dětské instituce či pěstounské péče</w:t>
      </w:r>
    </w:p>
    <w:p w14:paraId="3AD986AA" w14:textId="77777777" w:rsidR="008212DA" w:rsidRPr="00CB57EF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CB57EF">
        <w:rPr>
          <w:rFonts w:ascii="Arial" w:eastAsia="MS Mincho" w:hAnsi="Arial" w:cs="Arial"/>
          <w:lang w:eastAsia="ja-JP"/>
        </w:rPr>
        <w:t>osoby v seniorském věku</w:t>
      </w:r>
    </w:p>
    <w:p w14:paraId="460FF0D0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invalidé dlouhodobě ubytovaní v azylovém domě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5A1E1B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podnájmu (nemají jinou možnost bydlení)</w:t>
      </w:r>
    </w:p>
    <w:p w14:paraId="50119E3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61317FD0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677D2">
        <w:rPr>
          <w:rFonts w:ascii="Arial" w:eastAsia="MS Mincho" w:hAnsi="Arial" w:cs="Arial"/>
          <w:lang w:eastAsia="ja-JP"/>
        </w:rPr>
        <w:t>/</w:t>
      </w:r>
      <w:r w:rsidR="007677D2" w:rsidRPr="007677D2">
        <w:t xml:space="preserve"> </w:t>
      </w:r>
      <w:r w:rsidR="007677D2" w:rsidRPr="007677D2">
        <w:rPr>
          <w:rFonts w:ascii="Arial" w:eastAsia="MS Mincho" w:hAnsi="Arial" w:cs="Arial"/>
          <w:lang w:eastAsia="ja-JP"/>
        </w:rPr>
        <w:t xml:space="preserve">kterým končí smlouva o nájmu z </w:t>
      </w:r>
      <w:r w:rsidRPr="008212DA">
        <w:rPr>
          <w:rFonts w:ascii="Arial" w:eastAsia="MS Mincho" w:hAnsi="Arial" w:cs="Arial"/>
          <w:lang w:eastAsia="ja-JP"/>
        </w:rPr>
        <w:t>nájemního bytu</w:t>
      </w:r>
    </w:p>
    <w:p w14:paraId="30280EB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ohrožené vystěhováním z vlastního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530358E" w14:textId="4D00FAF0" w:rsidR="005C6278" w:rsidRPr="008212DA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přelidněných bytech</w:t>
      </w:r>
      <w:r>
        <w:rPr>
          <w:rStyle w:val="Znakapoznpodarou"/>
        </w:rPr>
        <w:footnoteReference w:id="5"/>
      </w:r>
      <w:r w:rsidR="005C6278" w:rsidRPr="008212DA">
        <w:rPr>
          <w:rFonts w:ascii="Arial" w:eastAsia="MS Mincho" w:hAnsi="Arial" w:cs="Arial"/>
          <w:lang w:eastAsia="ja-JP"/>
        </w:rPr>
        <w:t>.</w:t>
      </w:r>
    </w:p>
    <w:bookmarkEnd w:id="0"/>
    <w:bookmarkEnd w:id="1"/>
    <w:bookmarkEnd w:id="2"/>
    <w:bookmarkEnd w:id="3"/>
    <w:bookmarkEnd w:id="4"/>
    <w:sectPr w:rsidR="005C627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C32275" w:rsidRDefault="007677D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C502FD" w:rsidRDefault="007677D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4D0B" w14:textId="2F0183A3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C32275" w:rsidRDefault="007677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4">
    <w:p w14:paraId="2DD3DA67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</w:t>
      </w:r>
      <w:r>
        <w:t>.</w:t>
      </w:r>
    </w:p>
  </w:footnote>
  <w:footnote w:id="5">
    <w:p w14:paraId="135A60F4" w14:textId="2C95E10F" w:rsidR="008212DA" w:rsidRPr="008212DA" w:rsidRDefault="008212DA" w:rsidP="008212DA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6DE384E1">
        <w:t xml:space="preserve"> </w:t>
      </w:r>
      <w:r w:rsidR="6DE384E1" w:rsidRPr="008212DA">
        <w:rPr>
          <w:rFonts w:ascii="Arial" w:hAnsi="Arial" w:cs="Arial"/>
          <w:sz w:val="18"/>
          <w:szCs w:val="18"/>
        </w:rPr>
        <w:t xml:space="preserve">Definice přelidněného bytu viz nařízení vlády č. 112/2019 Sb., o podmínkách použití finančních prostředků Státního fondu podpory investic na pořízení sociálních a dostupných bytů a sociálních, smíšených a dostupných domů, ve znění pozdějších předpisů, </w:t>
      </w:r>
      <w:hyperlink r:id="rId1" w:history="1">
        <w:r w:rsidR="6DE384E1" w:rsidRPr="008212DA">
          <w:rPr>
            <w:rFonts w:ascii="Arial" w:hAnsi="Arial" w:cs="Arial"/>
            <w:color w:val="0070C0"/>
            <w:sz w:val="18"/>
            <w:szCs w:val="18"/>
            <w:u w:val="single"/>
          </w:rPr>
          <w:t>https://www.zakonyprolidi.cz/cs/2019-112</w:t>
        </w:r>
      </w:hyperlink>
      <w:r w:rsidR="6DE384E1" w:rsidRPr="008212DA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C32275" w:rsidRDefault="007677D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akonyprolidi.cz/cs/2019-112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F5198-C25F-4C7F-A569-E2E788AE8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13</cp:revision>
  <cp:lastPrinted>2022-04-14T06:45:00Z</cp:lastPrinted>
  <dcterms:created xsi:type="dcterms:W3CDTF">2022-08-01T07:28:00Z</dcterms:created>
  <dcterms:modified xsi:type="dcterms:W3CDTF">2022-09-23T08:39:00Z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